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sz w:val="28"/>
          <w:szCs w:val="32"/>
        </w:rPr>
      </w:pPr>
      <w:bookmarkStart w:id="0" w:name="__DdeLink__1296_1718778609"/>
      <w:bookmarkStart w:id="1" w:name="_GoBack"/>
      <w:bookmarkEnd w:id="1"/>
      <w:bookmarkEnd w:id="0"/>
      <w:r>
        <w:rPr>
          <w:rFonts w:ascii="標楷體" w:hAnsi="標楷體" w:eastAsia="標楷體"/>
          <w:b/>
          <w:sz w:val="36"/>
          <w:szCs w:val="32"/>
        </w:rPr>
        <w:t>修正軍公教人員兼職費支給要點</w:t>
      </w:r>
    </w:p>
    <w:p>
      <w:pPr>
        <w:pStyle w:val="ListParagraph"/>
        <w:numPr>
          <w:ilvl w:val="0"/>
          <w:numId w:val="1"/>
        </w:numPr>
        <w:tabs>
          <w:tab w:val="left" w:pos="142" w:leader="none"/>
          <w:tab w:val="left" w:pos="567" w:leader="none"/>
        </w:tabs>
        <w:spacing w:lineRule="exact" w:line="460"/>
        <w:ind w:left="720" w:right="-58" w:hanging="720"/>
        <w:jc w:val="both"/>
        <w:rPr>
          <w:rFonts w:ascii="標楷體" w:hAnsi="標楷體" w:eastAsia="標楷體"/>
          <w:sz w:val="28"/>
          <w:szCs w:val="28"/>
        </w:rPr>
      </w:pPr>
      <w:r>
        <w:rPr>
          <w:rFonts w:ascii="標楷體" w:hAnsi="標楷體" w:eastAsia="標楷體"/>
          <w:sz w:val="28"/>
          <w:szCs w:val="28"/>
        </w:rPr>
        <w:t>支給對象：</w:t>
      </w:r>
    </w:p>
    <w:p>
      <w:pPr>
        <w:pStyle w:val="ListParagraph"/>
        <w:tabs>
          <w:tab w:val="left" w:pos="142" w:leader="none"/>
        </w:tabs>
        <w:spacing w:lineRule="exact" w:line="460"/>
        <w:ind w:left="566" w:right="-58" w:hanging="0"/>
        <w:jc w:val="both"/>
        <w:rPr>
          <w:rFonts w:ascii="標楷體" w:hAnsi="標楷體" w:eastAsia="標楷體"/>
          <w:sz w:val="28"/>
          <w:szCs w:val="28"/>
        </w:rPr>
      </w:pPr>
      <w:r>
        <w:rPr>
          <w:rFonts w:ascii="標楷體" w:hAnsi="標楷體" w:eastAsia="標楷體"/>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pPr>
        <w:pStyle w:val="ListParagraph"/>
        <w:numPr>
          <w:ilvl w:val="0"/>
          <w:numId w:val="2"/>
        </w:numPr>
        <w:tabs>
          <w:tab w:val="left" w:pos="142" w:leader="none"/>
          <w:tab w:val="left" w:pos="567" w:leader="none"/>
        </w:tabs>
        <w:spacing w:lineRule="exact" w:line="460"/>
        <w:ind w:left="1200" w:right="-58" w:hanging="720"/>
        <w:jc w:val="both"/>
        <w:rPr>
          <w:rFonts w:ascii="標楷體" w:hAnsi="標楷體" w:eastAsia="標楷體"/>
          <w:sz w:val="28"/>
          <w:szCs w:val="28"/>
        </w:rPr>
      </w:pPr>
      <w:r>
        <w:rPr>
          <w:rFonts w:ascii="標楷體" w:hAnsi="標楷體" w:eastAsia="標楷體"/>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pPr>
        <w:pStyle w:val="ListParagraph"/>
        <w:numPr>
          <w:ilvl w:val="0"/>
          <w:numId w:val="2"/>
        </w:numPr>
        <w:tabs>
          <w:tab w:val="left" w:pos="142" w:leader="none"/>
          <w:tab w:val="left" w:pos="567" w:leader="none"/>
        </w:tabs>
        <w:spacing w:lineRule="exact" w:line="460"/>
        <w:ind w:left="1200" w:right="-58" w:hanging="720"/>
        <w:jc w:val="both"/>
        <w:rPr>
          <w:rFonts w:ascii="標楷體" w:hAnsi="標楷體" w:eastAsia="標楷體"/>
          <w:sz w:val="28"/>
          <w:szCs w:val="28"/>
        </w:rPr>
      </w:pPr>
      <w:r>
        <w:rPr>
          <w:rFonts w:ascii="標楷體" w:hAnsi="標楷體" w:eastAsia="標楷體"/>
          <w:sz w:val="28"/>
          <w:szCs w:val="28"/>
        </w:rPr>
        <w:t xml:space="preserve">各機關所屬單位，未具 </w:t>
      </w:r>
      <w:r>
        <w:rPr>
          <w:rFonts w:eastAsia="標楷體" w:ascii="標楷體" w:hAnsi="標楷體"/>
          <w:sz w:val="28"/>
          <w:szCs w:val="28"/>
        </w:rPr>
        <w:t>1.</w:t>
      </w:r>
      <w:r>
        <w:rPr>
          <w:rFonts w:ascii="標楷體" w:hAnsi="標楷體" w:eastAsia="標楷體"/>
          <w:sz w:val="28"/>
          <w:szCs w:val="28"/>
        </w:rPr>
        <w:t>獨立編制；</w:t>
      </w:r>
      <w:r>
        <w:rPr>
          <w:rFonts w:eastAsia="標楷體" w:ascii="標楷體" w:hAnsi="標楷體"/>
          <w:sz w:val="28"/>
          <w:szCs w:val="28"/>
        </w:rPr>
        <w:t>2.</w:t>
      </w:r>
      <w:r>
        <w:rPr>
          <w:rFonts w:ascii="標楷體" w:hAnsi="標楷體" w:eastAsia="標楷體"/>
          <w:sz w:val="28"/>
          <w:szCs w:val="28"/>
        </w:rPr>
        <w:t>獨立預算；</w:t>
      </w:r>
      <w:r>
        <w:rPr>
          <w:rFonts w:eastAsia="標楷體" w:ascii="標楷體" w:hAnsi="標楷體"/>
          <w:sz w:val="28"/>
          <w:szCs w:val="28"/>
        </w:rPr>
        <w:t>3.</w:t>
      </w:r>
      <w:r>
        <w:rPr>
          <w:rFonts w:ascii="標楷體" w:hAnsi="標楷體" w:eastAsia="標楷體"/>
          <w:sz w:val="28"/>
          <w:szCs w:val="28"/>
        </w:rPr>
        <w:t>依法設置；</w:t>
      </w:r>
      <w:r>
        <w:rPr>
          <w:rFonts w:eastAsia="標楷體" w:ascii="標楷體" w:hAnsi="標楷體"/>
          <w:sz w:val="28"/>
          <w:szCs w:val="28"/>
        </w:rPr>
        <w:t>4.</w:t>
      </w:r>
      <w:r>
        <w:rPr>
          <w:rFonts w:ascii="標楷體" w:hAnsi="標楷體" w:eastAsia="標楷體"/>
          <w:sz w:val="28"/>
          <w:szCs w:val="28"/>
        </w:rPr>
        <w:t>對外行文等四項要件者，非屬獨立之建制機關，本機關人員兼任該單位職務者，不得支給。</w:t>
      </w:r>
    </w:p>
    <w:p>
      <w:pPr>
        <w:pStyle w:val="ListParagraph"/>
        <w:numPr>
          <w:ilvl w:val="0"/>
          <w:numId w:val="2"/>
        </w:numPr>
        <w:tabs>
          <w:tab w:val="left" w:pos="142" w:leader="none"/>
          <w:tab w:val="left" w:pos="567" w:leader="none"/>
        </w:tabs>
        <w:spacing w:lineRule="exact" w:line="460"/>
        <w:ind w:left="1200" w:right="-58" w:hanging="720"/>
        <w:jc w:val="both"/>
        <w:rPr>
          <w:rFonts w:ascii="標楷體" w:hAnsi="標楷體" w:eastAsia="標楷體"/>
          <w:sz w:val="28"/>
          <w:szCs w:val="28"/>
        </w:rPr>
      </w:pPr>
      <w:r>
        <w:rPr>
          <w:rFonts w:ascii="標楷體" w:hAnsi="標楷體" w:eastAsia="標楷體"/>
          <w:sz w:val="28"/>
          <w:szCs w:val="28"/>
        </w:rPr>
        <w:t>借調人員兼任本機關（構）學校及借調機關（構）學校之職務者，不得支給。</w:t>
      </w:r>
    </w:p>
    <w:p>
      <w:pPr>
        <w:pStyle w:val="ListParagraph"/>
        <w:numPr>
          <w:ilvl w:val="0"/>
          <w:numId w:val="2"/>
        </w:numPr>
        <w:tabs>
          <w:tab w:val="left" w:pos="142" w:leader="none"/>
          <w:tab w:val="left" w:pos="567" w:leader="none"/>
        </w:tabs>
        <w:spacing w:lineRule="exact" w:line="460"/>
        <w:ind w:left="1200" w:right="-58" w:hanging="720"/>
        <w:jc w:val="both"/>
        <w:rPr>
          <w:rFonts w:ascii="標楷體" w:hAnsi="標楷體" w:eastAsia="標楷體"/>
          <w:sz w:val="28"/>
          <w:szCs w:val="28"/>
        </w:rPr>
      </w:pPr>
      <w:r>
        <w:rPr>
          <w:rFonts w:ascii="標楷體" w:hAnsi="標楷體" w:eastAsia="標楷體"/>
          <w:sz w:val="28"/>
          <w:szCs w:val="28"/>
        </w:rPr>
        <w:t>兼任為執行本機關（構）學校業務或執行共同業務而設在上級或他機關（構）學校之任務編組職務者，不得支給。</w:t>
      </w:r>
    </w:p>
    <w:p>
      <w:pPr>
        <w:pStyle w:val="ListParagraph"/>
        <w:numPr>
          <w:ilvl w:val="0"/>
          <w:numId w:val="1"/>
        </w:numPr>
        <w:tabs>
          <w:tab w:val="left" w:pos="142" w:leader="none"/>
          <w:tab w:val="left" w:pos="567" w:leader="none"/>
        </w:tabs>
        <w:spacing w:lineRule="exact" w:line="460"/>
        <w:ind w:left="720" w:right="-58" w:hanging="720"/>
        <w:jc w:val="both"/>
        <w:rPr>
          <w:rFonts w:ascii="標楷體" w:hAnsi="標楷體" w:eastAsia="標楷體"/>
          <w:sz w:val="28"/>
          <w:szCs w:val="28"/>
        </w:rPr>
      </w:pPr>
      <w:r>
        <w:rPr>
          <w:rFonts w:ascii="標楷體" w:hAnsi="標楷體" w:eastAsia="標楷體"/>
          <w:sz w:val="28"/>
          <w:szCs w:val="28"/>
        </w:rPr>
        <w:t>支給標準：</w:t>
      </w:r>
    </w:p>
    <w:p>
      <w:pPr>
        <w:pStyle w:val="ListParagraph"/>
        <w:numPr>
          <w:ilvl w:val="0"/>
          <w:numId w:val="3"/>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按兼職人員本職銓敘審定等級區分為：簡任月支最高新臺幣三千元、薦任月支最高新臺幣二千五百元、委任月支最高新臺幣二千元。軍人、公立學校教育人員、公營事業人員比照相當等級支給。</w:t>
      </w:r>
    </w:p>
    <w:p>
      <w:pPr>
        <w:pStyle w:val="ListParagraph"/>
        <w:numPr>
          <w:ilvl w:val="0"/>
          <w:numId w:val="3"/>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各機關（構）學校支給兼職費標準在前目規定範圍內得自行核定支給，超過標準者應專案報經行政院核准後始得支給。</w:t>
      </w:r>
    </w:p>
    <w:p>
      <w:pPr>
        <w:pStyle w:val="ListParagraph"/>
        <w:numPr>
          <w:ilvl w:val="0"/>
          <w:numId w:val="1"/>
        </w:numPr>
        <w:tabs>
          <w:tab w:val="left" w:pos="142" w:leader="none"/>
          <w:tab w:val="left" w:pos="567" w:leader="none"/>
        </w:tabs>
        <w:spacing w:lineRule="exact" w:line="460"/>
        <w:ind w:left="720" w:right="-58" w:hanging="720"/>
        <w:jc w:val="both"/>
        <w:rPr>
          <w:rFonts w:ascii="標楷體" w:hAnsi="標楷體" w:eastAsia="標楷體"/>
          <w:sz w:val="28"/>
          <w:szCs w:val="28"/>
        </w:rPr>
      </w:pPr>
      <w:r>
        <w:rPr>
          <w:rFonts w:ascii="標楷體" w:hAnsi="標楷體" w:eastAsia="標楷體"/>
          <w:sz w:val="28"/>
          <w:szCs w:val="28"/>
        </w:rPr>
        <w:t>支給方式：</w:t>
      </w:r>
    </w:p>
    <w:p>
      <w:pPr>
        <w:pStyle w:val="ListParagraph"/>
        <w:numPr>
          <w:ilvl w:val="0"/>
          <w:numId w:val="4"/>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兼任職務之性質以開會型態為主者，由聘（派）兼機關（構）學校統一就下列兼職費支給方式擇一辦理，擇定後於同一任期內，除報經主管機關同意者外，不得變更；代理出席會議者，不得支給：</w:t>
      </w:r>
    </w:p>
    <w:p>
      <w:pPr>
        <w:pStyle w:val="ListParagraph"/>
        <w:numPr>
          <w:ilvl w:val="0"/>
          <w:numId w:val="5"/>
        </w:numPr>
        <w:tabs>
          <w:tab w:val="left" w:pos="142" w:leader="none"/>
          <w:tab w:val="left" w:pos="567" w:leader="none"/>
        </w:tabs>
        <w:spacing w:lineRule="exact" w:line="460"/>
        <w:ind w:left="1680" w:right="-58" w:hanging="480"/>
        <w:jc w:val="both"/>
        <w:rPr>
          <w:rFonts w:ascii="標楷體" w:hAnsi="標楷體" w:eastAsia="標楷體"/>
          <w:sz w:val="28"/>
          <w:szCs w:val="28"/>
        </w:rPr>
      </w:pPr>
      <w:r>
        <w:rPr>
          <w:rFonts w:ascii="標楷體" w:hAnsi="標楷體" w:eastAsia="標楷體"/>
          <w:sz w:val="28"/>
          <w:szCs w:val="28"/>
        </w:rPr>
        <w:t>按月支給，並依實際出席比率計發兼職費。但所兼任之職務非每月開會者，亦得按實際開會之月數依實際出席比率計發之。</w:t>
      </w:r>
    </w:p>
    <w:p>
      <w:pPr>
        <w:pStyle w:val="ListParagraph"/>
        <w:numPr>
          <w:ilvl w:val="0"/>
          <w:numId w:val="5"/>
        </w:numPr>
        <w:tabs>
          <w:tab w:val="left" w:pos="142" w:leader="none"/>
          <w:tab w:val="left" w:pos="567" w:leader="none"/>
        </w:tabs>
        <w:spacing w:lineRule="exact" w:line="460"/>
        <w:ind w:left="1680" w:right="-58" w:hanging="480"/>
        <w:jc w:val="both"/>
        <w:rPr>
          <w:rFonts w:ascii="標楷體" w:hAnsi="標楷體" w:eastAsia="標楷體"/>
          <w:sz w:val="28"/>
          <w:szCs w:val="28"/>
        </w:rPr>
      </w:pPr>
      <w:r>
        <w:rPr>
          <w:rFonts w:ascii="標楷體" w:hAnsi="標楷體" w:eastAsia="標楷體"/>
          <w:sz w:val="28"/>
          <w:szCs w:val="28"/>
        </w:rPr>
        <w:t>依實際出席次數按次支給兼職費，每次最高新臺幣二千元，每月支領總額不受本支給要點二、</w:t>
      </w: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有關超過通案標準應專案報經行政院核准之限制。但仍應受本支給要點四、支領個數及上限規定之限制。</w:t>
      </w:r>
    </w:p>
    <w:p>
      <w:pPr>
        <w:pStyle w:val="ListParagraph"/>
        <w:numPr>
          <w:ilvl w:val="0"/>
          <w:numId w:val="4"/>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pPr>
        <w:pStyle w:val="ListParagraph"/>
        <w:numPr>
          <w:ilvl w:val="0"/>
          <w:numId w:val="1"/>
        </w:numPr>
        <w:tabs>
          <w:tab w:val="left" w:pos="142" w:leader="none"/>
          <w:tab w:val="left" w:pos="567" w:leader="none"/>
        </w:tabs>
        <w:spacing w:lineRule="exact" w:line="460"/>
        <w:ind w:left="567" w:right="-58" w:hanging="567"/>
        <w:jc w:val="both"/>
        <w:rPr>
          <w:rFonts w:ascii="標楷體" w:hAnsi="標楷體" w:eastAsia="標楷體"/>
          <w:sz w:val="28"/>
          <w:szCs w:val="28"/>
        </w:rPr>
      </w:pPr>
      <w:r>
        <w:rPr>
          <w:rFonts w:ascii="標楷體" w:hAnsi="標楷體" w:eastAsia="標楷體"/>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pPr>
        <w:pStyle w:val="ListParagraph"/>
        <w:numPr>
          <w:ilvl w:val="0"/>
          <w:numId w:val="6"/>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支領一個兼職費每月超過新臺幣八千元部分；兼任公司常務董事或常駐監察人為每月超過新臺幣一萬二千元部分。</w:t>
      </w:r>
    </w:p>
    <w:p>
      <w:pPr>
        <w:pStyle w:val="ListParagraph"/>
        <w:numPr>
          <w:ilvl w:val="0"/>
          <w:numId w:val="6"/>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支領二個兼職費每月合計超過新臺幣一萬六千元部分。</w:t>
      </w:r>
    </w:p>
    <w:p>
      <w:pPr>
        <w:pStyle w:val="ListParagraph"/>
        <w:numPr>
          <w:ilvl w:val="0"/>
          <w:numId w:val="6"/>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支領超過二個以上之兼職費。</w:t>
      </w:r>
    </w:p>
    <w:p>
      <w:pPr>
        <w:pStyle w:val="ListParagraph"/>
        <w:numPr>
          <w:ilvl w:val="0"/>
          <w:numId w:val="1"/>
        </w:numPr>
        <w:tabs>
          <w:tab w:val="left" w:pos="142" w:leader="none"/>
          <w:tab w:val="left" w:pos="567" w:leader="none"/>
        </w:tabs>
        <w:spacing w:lineRule="exact" w:line="460"/>
        <w:ind w:left="567" w:right="-58" w:hanging="567"/>
        <w:jc w:val="both"/>
        <w:rPr>
          <w:rFonts w:ascii="標楷體" w:hAnsi="標楷體" w:eastAsia="標楷體"/>
          <w:sz w:val="28"/>
          <w:szCs w:val="28"/>
        </w:rPr>
      </w:pPr>
      <w:r>
        <w:rPr>
          <w:rFonts w:ascii="標楷體" w:hAnsi="標楷體" w:eastAsia="標楷體"/>
          <w:sz w:val="28"/>
          <w:szCs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pPr>
        <w:pStyle w:val="ListParagraph"/>
        <w:tabs>
          <w:tab w:val="left" w:pos="142" w:leader="none"/>
          <w:tab w:val="left" w:pos="567" w:leader="none"/>
        </w:tabs>
        <w:spacing w:lineRule="exact" w:line="460"/>
        <w:ind w:left="567" w:right="-58" w:hanging="0"/>
        <w:jc w:val="both"/>
        <w:rPr>
          <w:rFonts w:ascii="標楷體" w:hAnsi="標楷體" w:eastAsia="標楷體"/>
          <w:sz w:val="28"/>
          <w:szCs w:val="28"/>
        </w:rPr>
      </w:pPr>
      <w:r>
        <w:rPr>
          <w:rFonts w:ascii="標楷體" w:hAnsi="標楷體" w:eastAsia="標楷體"/>
          <w:sz w:val="28"/>
          <w:szCs w:val="28"/>
        </w:rPr>
        <w:t>各機關（構）學校應將本支給要點通知兼職人員，兼職人員之本職機關（構）學校應確實依規定列冊加強審核登記兼職及支給兼職費情形。</w:t>
      </w:r>
    </w:p>
    <w:p>
      <w:pPr>
        <w:pStyle w:val="ListParagraph"/>
        <w:numPr>
          <w:ilvl w:val="0"/>
          <w:numId w:val="1"/>
        </w:numPr>
        <w:tabs>
          <w:tab w:val="left" w:pos="142" w:leader="none"/>
          <w:tab w:val="left" w:pos="567" w:leader="none"/>
        </w:tabs>
        <w:spacing w:lineRule="exact" w:line="460"/>
        <w:ind w:left="720" w:right="-58" w:hanging="720"/>
        <w:jc w:val="both"/>
        <w:rPr>
          <w:rFonts w:ascii="標楷體" w:hAnsi="標楷體" w:eastAsia="標楷體"/>
          <w:sz w:val="28"/>
          <w:szCs w:val="28"/>
        </w:rPr>
      </w:pPr>
      <w:r>
        <w:rPr>
          <w:rFonts w:ascii="標楷體" w:hAnsi="標楷體" w:eastAsia="標楷體"/>
          <w:sz w:val="28"/>
          <w:szCs w:val="28"/>
        </w:rPr>
        <w:t>兼任及代理主管職務人員兼職費，依下列規定支給：</w:t>
      </w:r>
    </w:p>
    <w:p>
      <w:pPr>
        <w:pStyle w:val="ListParagraph"/>
        <w:numPr>
          <w:ilvl w:val="0"/>
          <w:numId w:val="7"/>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兼任本機關（構）學校法定主管職務及非主管人員兼任其他機關（構）學校主管職務，已支領主管職務加給者，如另有兼職，得依本支給要點，再支領二個兼職費。</w:t>
      </w:r>
    </w:p>
    <w:p>
      <w:pPr>
        <w:pStyle w:val="ListParagraph"/>
        <w:numPr>
          <w:ilvl w:val="0"/>
          <w:numId w:val="7"/>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主管人員兼任其他機關（構）學校主管職務，得在不重領、不兼領主管職務加給之原則下，就所兼任主管職務之主管職務加給與兼職費擇一支領。擇領主管職務加給者，如另有兼職，得依本支給要點再支領二個兼職費；擇領兼職費者，得依本支給要點再支領一個兼職費。</w:t>
      </w:r>
    </w:p>
    <w:p>
      <w:pPr>
        <w:pStyle w:val="ListParagraph"/>
        <w:numPr>
          <w:ilvl w:val="0"/>
          <w:numId w:val="7"/>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經權責機關核准代理其他機關（構）學校主管職務連續十個工作日以上者，得就所代理主管職務之主管職務加給與兼職費擇一支領。擇領主管職務加給者，如另有兼職，得依本支給要點再支領二個兼職費；擇領兼職費者，如另有兼職，得依本支給要點再支領一個兼職費。</w:t>
      </w:r>
    </w:p>
    <w:p>
      <w:pPr>
        <w:pStyle w:val="ListParagraph"/>
        <w:numPr>
          <w:ilvl w:val="0"/>
          <w:numId w:val="7"/>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經權責機關核准代理其他機關（構）學校非主管職務連續十個工作日以上者，得支領兼職費；如另有兼職，以再支領一個兼職費為限。</w:t>
      </w:r>
    </w:p>
    <w:p>
      <w:pPr>
        <w:pStyle w:val="ListParagraph"/>
        <w:numPr>
          <w:ilvl w:val="0"/>
          <w:numId w:val="1"/>
        </w:numPr>
        <w:tabs>
          <w:tab w:val="left" w:pos="142" w:leader="none"/>
          <w:tab w:val="left" w:pos="567" w:leader="none"/>
        </w:tabs>
        <w:spacing w:lineRule="exact" w:line="460"/>
        <w:ind w:left="567" w:right="-58" w:hanging="567"/>
        <w:jc w:val="both"/>
        <w:rPr>
          <w:rFonts w:ascii="標楷體" w:hAnsi="標楷體" w:eastAsia="標楷體"/>
          <w:sz w:val="28"/>
          <w:szCs w:val="28"/>
        </w:rPr>
      </w:pPr>
      <w:r>
        <w:rPr>
          <w:rFonts w:ascii="標楷體" w:hAnsi="標楷體" w:eastAsia="標楷體"/>
          <w:sz w:val="28"/>
          <w:szCs w:val="28"/>
        </w:rPr>
        <w:t>軍公教人員依法令奉派或經服務機關（構）學校許可兼任民營公司、財（社）團法人、依人民團體法所組織之團體等職務，其兼職費均應依本支給要點辦理。</w:t>
      </w:r>
    </w:p>
    <w:p>
      <w:pPr>
        <w:pStyle w:val="ListParagraph"/>
        <w:numPr>
          <w:ilvl w:val="0"/>
          <w:numId w:val="1"/>
        </w:numPr>
        <w:tabs>
          <w:tab w:val="left" w:pos="142" w:leader="none"/>
          <w:tab w:val="left" w:pos="567" w:leader="none"/>
        </w:tabs>
        <w:spacing w:lineRule="exact" w:line="460"/>
        <w:ind w:left="720" w:right="-58" w:hanging="720"/>
        <w:jc w:val="both"/>
        <w:rPr>
          <w:rFonts w:ascii="標楷體" w:hAnsi="標楷體" w:eastAsia="標楷體"/>
          <w:sz w:val="28"/>
          <w:szCs w:val="28"/>
        </w:rPr>
      </w:pPr>
      <w:r>
        <w:rPr>
          <w:rFonts w:ascii="標楷體" w:hAnsi="標楷體" w:eastAsia="標楷體"/>
          <w:sz w:val="28"/>
          <w:szCs w:val="28"/>
        </w:rPr>
        <w:t>下列情形不受本支給要點之限制：</w:t>
      </w:r>
    </w:p>
    <w:p>
      <w:pPr>
        <w:pStyle w:val="ListParagraph"/>
        <w:numPr>
          <w:ilvl w:val="0"/>
          <w:numId w:val="8"/>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退休人員、民意代表，及各機關（構）學校接受委託研究計畫之工作人員，其所支給之研究津貼，由被兼職機關（構）學校依規定標準逕行發給兼職人員具領。</w:t>
      </w:r>
    </w:p>
    <w:p>
      <w:pPr>
        <w:pStyle w:val="ListParagraph"/>
        <w:numPr>
          <w:ilvl w:val="0"/>
          <w:numId w:val="8"/>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pPr>
        <w:pStyle w:val="ListParagraph"/>
        <w:numPr>
          <w:ilvl w:val="0"/>
          <w:numId w:val="8"/>
        </w:numPr>
        <w:tabs>
          <w:tab w:val="left" w:pos="142" w:leader="none"/>
          <w:tab w:val="left" w:pos="567" w:leader="none"/>
        </w:tabs>
        <w:spacing w:lineRule="exact" w:line="460"/>
        <w:ind w:left="1200" w:right="-58" w:hanging="774"/>
        <w:jc w:val="both"/>
        <w:rPr>
          <w:rFonts w:ascii="標楷體" w:hAnsi="標楷體" w:eastAsia="標楷體"/>
          <w:sz w:val="28"/>
          <w:szCs w:val="28"/>
        </w:rPr>
      </w:pPr>
      <w:r>
        <w:rPr>
          <w:rFonts w:ascii="標楷體" w:hAnsi="標楷體" w:eastAsia="標楷體"/>
          <w:sz w:val="28"/>
          <w:szCs w:val="28"/>
        </w:rPr>
        <w:t>按件計酬及依「中央政府各機關單位預算執行要點」所定義之講授鐘點費、稿費、審查費、出席費、監考費及閱卷費等。</w:t>
      </w:r>
    </w:p>
    <w:p>
      <w:pPr>
        <w:pStyle w:val="ListParagraph"/>
        <w:numPr>
          <w:ilvl w:val="0"/>
          <w:numId w:val="1"/>
        </w:numPr>
        <w:tabs>
          <w:tab w:val="left" w:pos="142" w:leader="none"/>
          <w:tab w:val="left" w:pos="567" w:leader="none"/>
        </w:tabs>
        <w:spacing w:lineRule="exact" w:line="460"/>
        <w:ind w:left="567" w:right="-58" w:hanging="567"/>
        <w:jc w:val="both"/>
        <w:rPr/>
      </w:pPr>
      <w:r>
        <w:rPr>
          <w:rFonts w:ascii="標楷體" w:hAnsi="標楷體" w:eastAsia="標楷體"/>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sectPr>
      <w:type w:val="nextPage"/>
      <w:pgSz w:w="11906" w:h="16838"/>
      <w:pgMar w:left="1800" w:right="1800" w:header="0" w:top="1440" w:footer="0" w:bottom="144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4">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6">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8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4"/>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alibri" w:hAnsi="Calibri" w:eastAsia="新細明體" w:cs="" w:asciiTheme="minorHAnsi" w:cstheme="minorBidi" w:eastAsiaTheme="minorEastAsia" w:hAnsiTheme="minorHAnsi"/>
      <w:color w:val="auto"/>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3"/>
    <w:uiPriority w:val="99"/>
    <w:qFormat/>
    <w:rsid w:val="00766754"/>
    <w:rPr>
      <w:sz w:val="20"/>
      <w:szCs w:val="20"/>
    </w:rPr>
  </w:style>
  <w:style w:type="character" w:styleId="Style15" w:customStyle="1">
    <w:name w:val="頁尾 字元"/>
    <w:basedOn w:val="DefaultParagraphFont"/>
    <w:link w:val="a5"/>
    <w:uiPriority w:val="99"/>
    <w:qFormat/>
    <w:rsid w:val="00766754"/>
    <w:rPr>
      <w:sz w:val="20"/>
      <w:szCs w:val="20"/>
    </w:rPr>
  </w:style>
  <w:style w:type="character" w:styleId="Style16" w:customStyle="1">
    <w:name w:val="註解方塊文字 字元"/>
    <w:basedOn w:val="DefaultParagraphFont"/>
    <w:link w:val="a7"/>
    <w:uiPriority w:val="99"/>
    <w:semiHidden/>
    <w:qFormat/>
    <w:rsid w:val="005b1be4"/>
    <w:rPr>
      <w:rFonts w:ascii="Cambria" w:hAnsi="Cambria" w:eastAsia="新細明體" w:cs="" w:asciiTheme="majorHAnsi" w:cstheme="majorBidi" w:eastAsiaTheme="majorEastAsia" w:hAnsiTheme="majorHAnsi"/>
      <w:sz w:val="18"/>
      <w:szCs w:val="18"/>
    </w:rPr>
  </w:style>
  <w:style w:type="paragraph" w:styleId="Style17">
    <w:name w:val="標題"/>
    <w:basedOn w:val="Normal"/>
    <w:next w:val="Style18"/>
    <w:qFormat/>
    <w:pPr>
      <w:keepNext/>
      <w:spacing w:before="240" w:after="120"/>
    </w:pPr>
    <w:rPr>
      <w:rFonts w:ascii="Liberation Sans" w:hAnsi="Liberation Sans" w:eastAsia="微軟正黑體" w:cs="Arial Unicode M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索引"/>
    <w:basedOn w:val="Normal"/>
    <w:qFormat/>
    <w:pPr>
      <w:suppressLineNumbers/>
    </w:pPr>
    <w:rPr>
      <w:rFonts w:cs="Arial Unicode MS"/>
    </w:rPr>
  </w:style>
  <w:style w:type="paragraph" w:styleId="Style22">
    <w:name w:val="Header"/>
    <w:basedOn w:val="Normal"/>
    <w:link w:val="a4"/>
    <w:uiPriority w:val="99"/>
    <w:unhideWhenUsed/>
    <w:rsid w:val="00766754"/>
    <w:pPr>
      <w:tabs>
        <w:tab w:val="center" w:pos="4153" w:leader="none"/>
        <w:tab w:val="right" w:pos="8306" w:leader="none"/>
      </w:tabs>
      <w:snapToGrid w:val="false"/>
    </w:pPr>
    <w:rPr>
      <w:sz w:val="20"/>
      <w:szCs w:val="20"/>
    </w:rPr>
  </w:style>
  <w:style w:type="paragraph" w:styleId="Style23">
    <w:name w:val="Footer"/>
    <w:basedOn w:val="Normal"/>
    <w:link w:val="a6"/>
    <w:uiPriority w:val="99"/>
    <w:unhideWhenUsed/>
    <w:rsid w:val="00766754"/>
    <w:pPr>
      <w:tabs>
        <w:tab w:val="center" w:pos="4153" w:leader="none"/>
        <w:tab w:val="right" w:pos="8306" w:leader="none"/>
      </w:tabs>
      <w:snapToGrid w:val="false"/>
    </w:pPr>
    <w:rPr>
      <w:sz w:val="20"/>
      <w:szCs w:val="20"/>
    </w:rPr>
  </w:style>
  <w:style w:type="paragraph" w:styleId="BalloonText">
    <w:name w:val="Balloon Text"/>
    <w:basedOn w:val="Normal"/>
    <w:link w:val="a8"/>
    <w:uiPriority w:val="99"/>
    <w:semiHidden/>
    <w:unhideWhenUsed/>
    <w:qFormat/>
    <w:rsid w:val="005b1be4"/>
    <w:pPr/>
    <w:rPr>
      <w:rFonts w:ascii="Cambria" w:hAnsi="Cambria" w:eastAsia="新細明體" w:cs="" w:asciiTheme="majorHAnsi" w:cstheme="majorBidi" w:eastAsiaTheme="majorEastAsia" w:hAnsiTheme="majorHAnsi"/>
      <w:sz w:val="18"/>
      <w:szCs w:val="18"/>
    </w:rPr>
  </w:style>
  <w:style w:type="paragraph" w:styleId="ListParagraph">
    <w:name w:val="List Paragraph"/>
    <w:basedOn w:val="Normal"/>
    <w:uiPriority w:val="34"/>
    <w:qFormat/>
    <w:rsid w:val="00d04e29"/>
    <w:pPr>
      <w:ind w:left="48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7A79-7143-40BF-AB64-70A1722D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LibreOffice/5.1.5.2$Windows_X86_64 LibreOffice_project/7a864d8825610a8c07cfc3bc01dd4fce6a9447e5</Application>
  <Pages>3</Pages>
  <Words>307</Words>
  <CharactersWithSpaces>1753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2018-01-23T01:32:00Z</dcterms:created>
  <dc:creator>張容華</dc:creator>
  <dc:description/>
  <dc:language>zh-TW</dc:language>
  <cp:lastModifiedBy>總發文張雨龍</cp:lastModifiedBy>
  <cp:lastPrinted>2017-12-21T09:23:00Z</cp:lastPrinted>
  <dcterms:modified xsi:type="dcterms:W3CDTF">2018-01-23T02:33:00Z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